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3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3"/>
      </w:tblGrid>
      <w:tr w:rsidR="003E5E44" w:rsidRPr="00F23913" w:rsidTr="008408DF">
        <w:trPr>
          <w:jc w:val="right"/>
        </w:trPr>
        <w:tc>
          <w:tcPr>
            <w:tcW w:w="33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E44" w:rsidRPr="00F23913" w:rsidRDefault="003E5E44" w:rsidP="008408DF">
            <w:pPr>
              <w:jc w:val="right"/>
              <w:rPr>
                <w:szCs w:val="20"/>
              </w:rPr>
            </w:pPr>
            <w:r w:rsidRPr="00F23913">
              <w:rPr>
                <w:szCs w:val="20"/>
              </w:rPr>
              <w:t>Приложение</w:t>
            </w:r>
            <w:r>
              <w:rPr>
                <w:szCs w:val="20"/>
              </w:rPr>
              <w:t>1</w:t>
            </w:r>
            <w:r w:rsidRPr="00F23913">
              <w:rPr>
                <w:szCs w:val="20"/>
              </w:rPr>
              <w:br/>
              <w:t>к приказу от</w:t>
            </w:r>
            <w:r>
              <w:rPr>
                <w:szCs w:val="20"/>
              </w:rPr>
              <w:t xml:space="preserve"> 09.01.2019 г. № 02</w:t>
            </w:r>
            <w:r>
              <w:rPr>
                <w:rStyle w:val="fill"/>
              </w:rPr>
              <w:t xml:space="preserve">                      </w:t>
            </w:r>
            <w:r>
              <w:rPr>
                <w:szCs w:val="20"/>
              </w:rPr>
              <w:t xml:space="preserve">      </w:t>
            </w:r>
            <w:r w:rsidRPr="00F23913">
              <w:rPr>
                <w:szCs w:val="20"/>
              </w:rPr>
              <w:t> </w:t>
            </w:r>
            <w:r>
              <w:rPr>
                <w:szCs w:val="20"/>
              </w:rPr>
              <w:t xml:space="preserve">              </w:t>
            </w:r>
          </w:p>
        </w:tc>
      </w:tr>
    </w:tbl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0"/>
        </w:rPr>
      </w:pPr>
      <w:r w:rsidRPr="00F23913">
        <w:rPr>
          <w:b/>
          <w:bCs/>
          <w:szCs w:val="20"/>
        </w:rPr>
        <w:t>Учетная политика для целей бухгалтерского учета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 xml:space="preserve">Учетная политика </w:t>
      </w:r>
      <w:r>
        <w:rPr>
          <w:szCs w:val="20"/>
        </w:rPr>
        <w:t>бюджетных учреждений</w:t>
      </w:r>
      <w:r w:rsidRPr="00F23913">
        <w:rPr>
          <w:szCs w:val="20"/>
        </w:rPr>
        <w:t xml:space="preserve">  (далее – учреждение) разработана в соответствии: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</w:rPr>
        <w:t>с</w:t>
      </w:r>
      <w:r w:rsidRPr="00F23913">
        <w:t xml:space="preserve"> </w:t>
      </w:r>
      <w:r w:rsidRPr="00F23913">
        <w:rPr>
          <w:szCs w:val="20"/>
        </w:rPr>
        <w:t xml:space="preserve">приказом Минфина от 01.12.2010 № 157н </w:t>
      </w:r>
      <w:r w:rsidRPr="00F23913">
        <w:rPr>
          <w:i/>
          <w:iCs/>
          <w:szCs w:val="20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F23913">
        <w:rPr>
          <w:szCs w:val="20"/>
        </w:rPr>
        <w:t xml:space="preserve"> (далее – Инструкции к Единому плану счетов № 157н);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</w:rPr>
        <w:t xml:space="preserve">приказом Минфина от 16.12.2010 № 174н </w:t>
      </w:r>
      <w:r w:rsidRPr="00F23913">
        <w:rPr>
          <w:i/>
          <w:iCs/>
          <w:szCs w:val="20"/>
        </w:rPr>
        <w:t>«Об утверждении Плана счетов бухгалтерского учета бюджетных учреждений и Инструкции по его применению»</w:t>
      </w:r>
      <w:r w:rsidRPr="00F23913">
        <w:rPr>
          <w:szCs w:val="20"/>
        </w:rPr>
        <w:t xml:space="preserve"> (далее – Инструкция № 174н);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  <w:shd w:val="clear" w:color="auto" w:fill="FFFFFF"/>
        </w:rPr>
        <w:t>приказом Минфина от 08.06.2018 № 132н «</w:t>
      </w:r>
      <w:r w:rsidRPr="00F23913">
        <w:rPr>
          <w:i/>
          <w:szCs w:val="20"/>
          <w:shd w:val="clear" w:color="auto" w:fill="FFFFFF"/>
        </w:rPr>
        <w:t xml:space="preserve">О Порядке формирования и применения кодов бюджетной классификации Российской Федерации, их структуре и принципах назначения» </w:t>
      </w:r>
      <w:r w:rsidRPr="00F23913">
        <w:rPr>
          <w:szCs w:val="20"/>
          <w:shd w:val="clear" w:color="auto" w:fill="FFFFFF"/>
        </w:rPr>
        <w:t>(далее – приказ № 132н);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  <w:shd w:val="clear" w:color="auto" w:fill="FFFFFF"/>
        </w:rPr>
        <w:t xml:space="preserve">приказом Минфина от 29.11.2017 № 209н </w:t>
      </w:r>
      <w:r w:rsidRPr="00F23913">
        <w:rPr>
          <w:i/>
          <w:szCs w:val="20"/>
          <w:shd w:val="clear" w:color="auto" w:fill="FFFFFF"/>
        </w:rPr>
        <w:t xml:space="preserve">«Об утверждении Порядка применения классификации операций сектора государственного управления» </w:t>
      </w:r>
      <w:r w:rsidRPr="00F23913">
        <w:rPr>
          <w:szCs w:val="20"/>
          <w:shd w:val="clear" w:color="auto" w:fill="FFFFFF"/>
        </w:rPr>
        <w:t>(далее – приказ № 209н);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</w:rPr>
        <w:t xml:space="preserve">приказом Минфина от 30.03.2015 № 52н </w:t>
      </w:r>
      <w:r w:rsidRPr="00F23913">
        <w:rPr>
          <w:i/>
          <w:iCs/>
          <w:szCs w:val="20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F23913">
        <w:rPr>
          <w:szCs w:val="20"/>
        </w:rPr>
        <w:t xml:space="preserve"> (далее – приказ № 52н);</w:t>
      </w:r>
    </w:p>
    <w:p w:rsidR="003E5E44" w:rsidRPr="00F23913" w:rsidRDefault="003E5E44" w:rsidP="003E5E4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0"/>
        </w:rPr>
      </w:pPr>
      <w:r w:rsidRPr="00F23913">
        <w:rPr>
          <w:szCs w:val="20"/>
        </w:rPr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</w:t>
      </w:r>
      <w:r w:rsidRPr="00F23913">
        <w:t xml:space="preserve"> </w:t>
      </w:r>
      <w:r w:rsidRPr="00F23913">
        <w:rPr>
          <w:szCs w:val="20"/>
        </w:rPr>
        <w:t xml:space="preserve">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</w:t>
      </w:r>
      <w:r w:rsidRPr="00F23913">
        <w:rPr>
          <w:szCs w:val="20"/>
          <w:shd w:val="clear" w:color="auto" w:fill="FFFFFF"/>
        </w:rPr>
        <w:t xml:space="preserve">от 30.12.2017 </w:t>
      </w:r>
      <w:r w:rsidRPr="00F23913">
        <w:rPr>
          <w:szCs w:val="20"/>
        </w:rPr>
        <w:t>№ 274н</w:t>
      </w:r>
      <w:r w:rsidRPr="00F23913">
        <w:t xml:space="preserve">, </w:t>
      </w:r>
      <w:r w:rsidRPr="00F23913">
        <w:rPr>
          <w:szCs w:val="20"/>
        </w:rPr>
        <w:t>275н,</w:t>
      </w:r>
      <w:r w:rsidRPr="00F23913">
        <w:t xml:space="preserve"> </w:t>
      </w:r>
      <w:r w:rsidRPr="00F23913">
        <w:rPr>
          <w:szCs w:val="20"/>
        </w:rPr>
        <w:t>278н (далее – соответственно СГС «Учетная политика, оценочные значения и ошибки», СГС «</w:t>
      </w:r>
      <w:r w:rsidRPr="00F23913">
        <w:rPr>
          <w:szCs w:val="20"/>
          <w:shd w:val="clear" w:color="auto" w:fill="FFFFFF"/>
        </w:rPr>
        <w:t>События после отчетной даты</w:t>
      </w:r>
      <w:r w:rsidRPr="00F23913">
        <w:rPr>
          <w:szCs w:val="20"/>
        </w:rPr>
        <w:t>», СГС «</w:t>
      </w:r>
      <w:r w:rsidRPr="00F23913">
        <w:rPr>
          <w:szCs w:val="20"/>
          <w:shd w:val="clear" w:color="auto" w:fill="FFFFFF"/>
        </w:rPr>
        <w:t>Отчет о движении денежных средств</w:t>
      </w:r>
      <w:r w:rsidRPr="00F23913">
        <w:rPr>
          <w:szCs w:val="20"/>
        </w:rPr>
        <w:t xml:space="preserve">»), </w:t>
      </w:r>
      <w:r w:rsidRPr="00F23913">
        <w:rPr>
          <w:szCs w:val="20"/>
          <w:shd w:val="clear" w:color="auto" w:fill="FFFFFF"/>
        </w:rPr>
        <w:t>от 27.02.2018 № 32н (</w:t>
      </w:r>
      <w:r w:rsidRPr="00F23913">
        <w:rPr>
          <w:szCs w:val="20"/>
        </w:rPr>
        <w:t>далее – СГС «</w:t>
      </w:r>
      <w:r w:rsidRPr="00F23913">
        <w:rPr>
          <w:szCs w:val="20"/>
          <w:shd w:val="clear" w:color="auto" w:fill="FFFFFF"/>
        </w:rPr>
        <w:t>Доходы</w:t>
      </w:r>
      <w:r w:rsidRPr="00F23913">
        <w:rPr>
          <w:szCs w:val="20"/>
        </w:rPr>
        <w:t>»</w:t>
      </w:r>
      <w:r w:rsidRPr="00F23913">
        <w:rPr>
          <w:szCs w:val="20"/>
          <w:shd w:val="clear" w:color="auto" w:fill="FFFFFF"/>
        </w:rPr>
        <w:t>)</w:t>
      </w:r>
      <w:r w:rsidRPr="00F23913">
        <w:rPr>
          <w:sz w:val="21"/>
          <w:szCs w:val="21"/>
          <w:shd w:val="clear" w:color="auto" w:fill="FFFFFF"/>
        </w:rPr>
        <w:t xml:space="preserve">, </w:t>
      </w:r>
      <w:r w:rsidRPr="00F23913">
        <w:rPr>
          <w:szCs w:val="20"/>
          <w:shd w:val="clear" w:color="auto" w:fill="FFFFFF"/>
        </w:rPr>
        <w:t>от 30.05.2018 №122н (</w:t>
      </w:r>
      <w:r w:rsidRPr="00F23913">
        <w:rPr>
          <w:szCs w:val="20"/>
        </w:rPr>
        <w:t>далее –</w:t>
      </w:r>
      <w:r w:rsidRPr="00F23913">
        <w:rPr>
          <w:szCs w:val="20"/>
          <w:shd w:val="clear" w:color="auto" w:fill="FFFFFF"/>
        </w:rPr>
        <w:t xml:space="preserve"> СГС «</w:t>
      </w:r>
      <w:r w:rsidRPr="00F23913">
        <w:rPr>
          <w:szCs w:val="20"/>
        </w:rPr>
        <w:t>Влияние изменений курсов иностранных валют»).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 xml:space="preserve">В части исполнения полномочий получателя бюджетных средств Учреждение ведет учет в соответствии с приказом Минфина от 06.12.2010 №162н </w:t>
      </w:r>
      <w:r w:rsidRPr="00F23913">
        <w:rPr>
          <w:i/>
          <w:iCs/>
          <w:szCs w:val="20"/>
        </w:rPr>
        <w:t>«Об утверждении плана счетов бюджетного учета и Инструкции по его применению»</w:t>
      </w:r>
      <w:r w:rsidRPr="00F23913">
        <w:rPr>
          <w:szCs w:val="20"/>
        </w:rPr>
        <w:t xml:space="preserve"> (далее – Инструкция № 162н).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Используемые термины и сокращения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2"/>
        <w:gridCol w:w="4330"/>
      </w:tblGrid>
      <w:tr w:rsidR="003E5E44" w:rsidRPr="00F23913" w:rsidTr="008408DF">
        <w:tc>
          <w:tcPr>
            <w:tcW w:w="4322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0"/>
              </w:rPr>
            </w:pPr>
            <w:r w:rsidRPr="00F23913">
              <w:rPr>
                <w:b/>
                <w:szCs w:val="20"/>
              </w:rPr>
              <w:t xml:space="preserve">Наименование </w:t>
            </w:r>
          </w:p>
        </w:tc>
        <w:tc>
          <w:tcPr>
            <w:tcW w:w="4330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0"/>
              </w:rPr>
            </w:pPr>
            <w:r w:rsidRPr="00F23913">
              <w:rPr>
                <w:b/>
                <w:szCs w:val="20"/>
              </w:rPr>
              <w:t xml:space="preserve">Расшифровка </w:t>
            </w:r>
          </w:p>
        </w:tc>
      </w:tr>
      <w:tr w:rsidR="003E5E44" w:rsidRPr="00F23913" w:rsidTr="008408DF">
        <w:tc>
          <w:tcPr>
            <w:tcW w:w="4322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F23913">
              <w:rPr>
                <w:szCs w:val="20"/>
              </w:rPr>
              <w:t>Учреждение</w:t>
            </w:r>
          </w:p>
        </w:tc>
        <w:tc>
          <w:tcPr>
            <w:tcW w:w="4330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>
              <w:rPr>
                <w:szCs w:val="20"/>
              </w:rPr>
              <w:t>Муниципальные бюджетные учреждения</w:t>
            </w:r>
          </w:p>
        </w:tc>
      </w:tr>
      <w:tr w:rsidR="003E5E44" w:rsidRPr="00F23913" w:rsidTr="008408DF">
        <w:tc>
          <w:tcPr>
            <w:tcW w:w="4322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F23913">
              <w:rPr>
                <w:szCs w:val="20"/>
              </w:rPr>
              <w:t>КБК</w:t>
            </w:r>
          </w:p>
        </w:tc>
        <w:tc>
          <w:tcPr>
            <w:tcW w:w="4330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F23913">
              <w:rPr>
                <w:szCs w:val="20"/>
              </w:rPr>
              <w:t>1–17 разряды номера счета в соответствии с Рабочим планом счетов</w:t>
            </w:r>
          </w:p>
        </w:tc>
      </w:tr>
      <w:tr w:rsidR="003E5E44" w:rsidRPr="00F23913" w:rsidTr="008408DF">
        <w:tc>
          <w:tcPr>
            <w:tcW w:w="4322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F23913">
              <w:rPr>
                <w:szCs w:val="20"/>
              </w:rPr>
              <w:t>Х</w:t>
            </w:r>
          </w:p>
        </w:tc>
        <w:tc>
          <w:tcPr>
            <w:tcW w:w="4330" w:type="dxa"/>
          </w:tcPr>
          <w:p w:rsidR="003E5E44" w:rsidRPr="00F23913" w:rsidRDefault="003E5E44" w:rsidP="00840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F23913">
              <w:rPr>
                <w:szCs w:val="20"/>
              </w:rPr>
              <w:t xml:space="preserve">18 разряд номера счета бухучета – </w:t>
            </w:r>
            <w:r w:rsidRPr="00F23913">
              <w:rPr>
                <w:i/>
                <w:szCs w:val="20"/>
              </w:rPr>
              <w:t>код вида финансового обеспечения (деятельности)</w:t>
            </w:r>
          </w:p>
        </w:tc>
      </w:tr>
    </w:tbl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0"/>
        </w:rPr>
      </w:pPr>
      <w:r w:rsidRPr="00F23913">
        <w:rPr>
          <w:b/>
          <w:bCs/>
          <w:szCs w:val="20"/>
          <w:lang w:val="en-US"/>
        </w:rPr>
        <w:t>I</w:t>
      </w:r>
      <w:r w:rsidRPr="00F23913">
        <w:rPr>
          <w:b/>
          <w:bCs/>
          <w:szCs w:val="20"/>
        </w:rPr>
        <w:t>. Общие положения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 xml:space="preserve">1. Бухгалтерский учет ведет </w:t>
      </w:r>
      <w:r>
        <w:rPr>
          <w:szCs w:val="20"/>
        </w:rPr>
        <w:t>МКУ "Централизованная бухгалтерия учреждений физической культуры и спорта г.Сарапула"</w:t>
      </w:r>
      <w:r w:rsidRPr="00F23913">
        <w:rPr>
          <w:szCs w:val="20"/>
        </w:rPr>
        <w:t xml:space="preserve"> – бухгалтерия, возглавляемая</w:t>
      </w:r>
      <w:r>
        <w:rPr>
          <w:szCs w:val="20"/>
        </w:rPr>
        <w:t xml:space="preserve"> руководителем</w:t>
      </w:r>
      <w:r w:rsidRPr="00F23913">
        <w:rPr>
          <w:szCs w:val="20"/>
        </w:rPr>
        <w:t xml:space="preserve">. Сотрудники бухгалтерии руководствуются в работе </w:t>
      </w:r>
      <w:r>
        <w:rPr>
          <w:szCs w:val="20"/>
        </w:rPr>
        <w:t xml:space="preserve">Уставом </w:t>
      </w:r>
      <w:r w:rsidRPr="00F23913">
        <w:rPr>
          <w:szCs w:val="20"/>
        </w:rPr>
        <w:t>бухгалтерии, должностными инструкциями.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Ответственным за ведение бухгалтерского учета в учреждении является главный бухгалтер.</w:t>
      </w:r>
      <w:r w:rsidRPr="00F23913">
        <w:rPr>
          <w:szCs w:val="20"/>
        </w:rPr>
        <w:br/>
        <w:t>Основание: часть 3 статьи 7 Закона от 06.12.2011 № 402-ФЗ, пункт 4 Инструкции к Единому плану счетов № 157н.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 xml:space="preserve">2. Бухгалтерский учет в </w:t>
      </w:r>
      <w:r>
        <w:rPr>
          <w:szCs w:val="20"/>
        </w:rPr>
        <w:t xml:space="preserve">автономных </w:t>
      </w:r>
      <w:r w:rsidRPr="00F23913">
        <w:rPr>
          <w:szCs w:val="20"/>
        </w:rPr>
        <w:t xml:space="preserve"> учреждения</w:t>
      </w:r>
      <w:r>
        <w:rPr>
          <w:szCs w:val="20"/>
        </w:rPr>
        <w:t>х</w:t>
      </w:r>
      <w:r w:rsidRPr="00F23913">
        <w:rPr>
          <w:szCs w:val="20"/>
        </w:rPr>
        <w:t>, имеющих лицевые счета в территориальных органах Федерального казначейства, ведут бухгалтерии этих подразделений.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>
        <w:rPr>
          <w:szCs w:val="20"/>
        </w:rPr>
        <w:t>3</w:t>
      </w:r>
      <w:r w:rsidRPr="00F23913">
        <w:rPr>
          <w:szCs w:val="20"/>
        </w:rPr>
        <w:t>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lastRenderedPageBreak/>
        <w:t>Основание: пункт 9 СГС «Учетная политика, оценочные значения и ошибки».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 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>
        <w:rPr>
          <w:szCs w:val="20"/>
        </w:rPr>
        <w:t>4</w:t>
      </w:r>
      <w:r w:rsidRPr="00F23913">
        <w:rPr>
          <w:szCs w:val="20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3E5E44" w:rsidRPr="00F23913" w:rsidRDefault="003E5E44" w:rsidP="003E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F23913">
        <w:rPr>
          <w:szCs w:val="20"/>
        </w:rPr>
        <w:t>Основание: пункты 17, 20, 32 СГС «Учетная политика, оценочные значения и ошибки».</w:t>
      </w:r>
    </w:p>
    <w:p w:rsidR="00FA5375" w:rsidRDefault="00FA5375"/>
    <w:sectPr w:rsidR="00FA5375" w:rsidSect="00FA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53A4"/>
    <w:multiLevelType w:val="hybridMultilevel"/>
    <w:tmpl w:val="099C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DisplayPageBoundaries/>
  <w:proofState w:spelling="clean"/>
  <w:defaultTabStop w:val="708"/>
  <w:characterSpacingControl w:val="doNotCompress"/>
  <w:compat/>
  <w:rsids>
    <w:rsidRoot w:val="003E5E44"/>
    <w:rsid w:val="003E5E44"/>
    <w:rsid w:val="00FA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44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3E5E44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3594</Characters>
  <Application>Microsoft Office Word</Application>
  <DocSecurity>0</DocSecurity>
  <Lines>29</Lines>
  <Paragraphs>8</Paragraphs>
  <ScaleCrop>false</ScaleCrop>
  <Company>Grizli777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2019-04-15T09:18:00Z</dcterms:created>
  <dcterms:modified xsi:type="dcterms:W3CDTF">2019-04-15T09:19:00Z</dcterms:modified>
</cp:coreProperties>
</file>